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43" w:rsidRDefault="00EC6643" w:rsidP="00EC6643">
      <w:pPr>
        <w:rPr>
          <w:rFonts w:ascii="Arial" w:hAnsi="Arial" w:cs="Arial"/>
        </w:rPr>
      </w:pPr>
      <w:r w:rsidRPr="00EC6643">
        <w:rPr>
          <w:rFonts w:ascii="Arial" w:hAnsi="Arial" w:cs="Arial"/>
          <w:i/>
          <w:iCs/>
        </w:rPr>
        <w:t>Приказ Минфин</w:t>
      </w:r>
      <w:r w:rsidRPr="00EC6643">
        <w:rPr>
          <w:rFonts w:ascii="Arial" w:hAnsi="Arial" w:cs="Arial"/>
          <w:i/>
          <w:iCs/>
        </w:rPr>
        <w:t>а</w:t>
      </w:r>
      <w:r w:rsidRPr="00EC6643">
        <w:rPr>
          <w:rFonts w:ascii="Arial" w:hAnsi="Arial" w:cs="Arial"/>
          <w:i/>
          <w:iCs/>
        </w:rPr>
        <w:t xml:space="preserve"> России от 04.06.2024 N 77н</w:t>
      </w:r>
    </w:p>
    <w:p w:rsidR="00EC6643" w:rsidRDefault="00EC6643" w:rsidP="00EC6643"/>
    <w:p w:rsidR="00EC6643" w:rsidRPr="007A31AE" w:rsidRDefault="00EC6643" w:rsidP="00EC6643">
      <w:pPr>
        <w:pStyle w:val="a4"/>
        <w:spacing w:before="0" w:after="0"/>
        <w:jc w:val="both"/>
        <w:rPr>
          <w:rFonts w:ascii="Arial" w:hAnsi="Arial" w:cs="Arial"/>
        </w:rPr>
      </w:pPr>
      <w:r w:rsidRPr="007A31AE">
        <w:rPr>
          <w:rFonts w:ascii="Arial" w:hAnsi="Arial" w:cs="Arial"/>
        </w:rPr>
        <w:t>Опубликовали приказ с поправками к МСФО:</w:t>
      </w:r>
    </w:p>
    <w:p w:rsidR="00EC6643" w:rsidRPr="007A31AE" w:rsidRDefault="00EC6643" w:rsidP="00EC6643">
      <w:pPr>
        <w:pStyle w:val="a4"/>
        <w:numPr>
          <w:ilvl w:val="0"/>
          <w:numId w:val="1"/>
        </w:numPr>
        <w:spacing w:before="0" w:after="0"/>
        <w:jc w:val="both"/>
        <w:rPr>
          <w:rFonts w:ascii="Arial" w:hAnsi="Arial" w:cs="Arial"/>
        </w:rPr>
      </w:pPr>
      <w:r w:rsidRPr="007A31AE">
        <w:rPr>
          <w:rFonts w:ascii="Arial" w:hAnsi="Arial" w:cs="Arial"/>
        </w:rPr>
        <w:t>Соглашения о финансировании поставок (поправки к МСФО (IAS) 7 и МСФО (IFRS) 7);</w:t>
      </w:r>
    </w:p>
    <w:p w:rsidR="00EC6643" w:rsidRPr="007A31AE" w:rsidRDefault="00EC6643" w:rsidP="00EC6643">
      <w:pPr>
        <w:pStyle w:val="a4"/>
        <w:numPr>
          <w:ilvl w:val="0"/>
          <w:numId w:val="1"/>
        </w:numPr>
        <w:spacing w:before="0" w:after="0"/>
        <w:jc w:val="both"/>
        <w:rPr>
          <w:rFonts w:ascii="Arial" w:hAnsi="Arial" w:cs="Arial"/>
        </w:rPr>
      </w:pPr>
      <w:r w:rsidRPr="007A31AE">
        <w:rPr>
          <w:rFonts w:ascii="Arial" w:hAnsi="Arial" w:cs="Arial"/>
        </w:rPr>
        <w:t>Международная налоговая реформа – модельные правила Компонента 2 (поправки к МСФО (IAS) 12);</w:t>
      </w:r>
    </w:p>
    <w:p w:rsidR="00EC6643" w:rsidRPr="007A31AE" w:rsidRDefault="00EC6643" w:rsidP="00EC6643">
      <w:pPr>
        <w:pStyle w:val="a4"/>
        <w:numPr>
          <w:ilvl w:val="0"/>
          <w:numId w:val="1"/>
        </w:numPr>
        <w:spacing w:before="0" w:after="0"/>
        <w:jc w:val="both"/>
        <w:rPr>
          <w:rFonts w:ascii="Arial" w:hAnsi="Arial" w:cs="Arial"/>
        </w:rPr>
      </w:pPr>
      <w:r w:rsidRPr="007A31AE">
        <w:rPr>
          <w:rFonts w:ascii="Arial" w:hAnsi="Arial" w:cs="Arial"/>
        </w:rPr>
        <w:t>Отсутствие возможности обмена валют (поправки к МСФО (IAS) 21).</w:t>
      </w:r>
    </w:p>
    <w:p w:rsidR="00EC6643" w:rsidRPr="007A31AE" w:rsidRDefault="00EC6643" w:rsidP="00EC6643">
      <w:pPr>
        <w:pStyle w:val="a4"/>
        <w:spacing w:before="120" w:after="0"/>
        <w:jc w:val="both"/>
        <w:rPr>
          <w:rFonts w:ascii="Arial" w:hAnsi="Arial" w:cs="Arial"/>
        </w:rPr>
      </w:pPr>
      <w:r w:rsidRPr="007A31AE">
        <w:rPr>
          <w:rFonts w:ascii="Arial" w:hAnsi="Arial" w:cs="Arial"/>
        </w:rPr>
        <w:t>Так, поправки к МСФО (IAS) 12 описывают п</w:t>
      </w:r>
      <w:r w:rsidRPr="007A31AE">
        <w:rPr>
          <w:rFonts w:ascii="Arial" w:hAnsi="Arial" w:cs="Arial"/>
        </w:rPr>
        <w:t>р</w:t>
      </w:r>
      <w:r w:rsidRPr="007A31AE">
        <w:rPr>
          <w:rFonts w:ascii="Arial" w:hAnsi="Arial" w:cs="Arial"/>
        </w:rPr>
        <w:t>авила раскрытия информации о налогах на прибыль в рамках модельных правил Компонента 2, которые опубликовала ОЭСР.</w:t>
      </w:r>
    </w:p>
    <w:p w:rsidR="00586927" w:rsidRDefault="00586927"/>
    <w:p w:rsidR="00EC6643" w:rsidRDefault="00EC6643"/>
    <w:p w:rsidR="00EC6643" w:rsidRDefault="00EC6643"/>
    <w:p w:rsidR="00EC6643" w:rsidRDefault="00EC6643" w:rsidP="00EC6643">
      <w:pPr>
        <w:rPr>
          <w:rFonts w:ascii="Arial" w:hAnsi="Arial" w:cs="Arial"/>
        </w:rPr>
      </w:pPr>
      <w:r w:rsidRPr="00EC6643">
        <w:rPr>
          <w:rFonts w:ascii="Arial" w:hAnsi="Arial" w:cs="Arial"/>
          <w:i/>
          <w:iCs/>
        </w:rPr>
        <w:t>Пр</w:t>
      </w:r>
      <w:r w:rsidRPr="00EC6643">
        <w:rPr>
          <w:rFonts w:ascii="Arial" w:hAnsi="Arial" w:cs="Arial"/>
          <w:i/>
          <w:iCs/>
        </w:rPr>
        <w:t>и</w:t>
      </w:r>
      <w:r w:rsidRPr="00EC6643">
        <w:rPr>
          <w:rFonts w:ascii="Arial" w:hAnsi="Arial" w:cs="Arial"/>
          <w:i/>
          <w:iCs/>
        </w:rPr>
        <w:t>каз ФНС России от 15.04.2024 N ЕД-7-14/306@</w:t>
      </w:r>
    </w:p>
    <w:p w:rsidR="00EC6643" w:rsidRDefault="00EC6643" w:rsidP="00EC6643"/>
    <w:p w:rsidR="00EC6643" w:rsidRPr="002B4203" w:rsidRDefault="00EC6643" w:rsidP="00EC6643">
      <w:pPr>
        <w:pStyle w:val="a4"/>
        <w:spacing w:before="0" w:after="0"/>
        <w:jc w:val="both"/>
        <w:rPr>
          <w:rFonts w:ascii="Arial" w:hAnsi="Arial" w:cs="Arial"/>
        </w:rPr>
      </w:pPr>
      <w:r w:rsidRPr="002B4203">
        <w:rPr>
          <w:rFonts w:ascii="Arial" w:hAnsi="Arial" w:cs="Arial"/>
        </w:rPr>
        <w:t>Если несколько обособленных подразделений находятся в одном муниципальном образовании или городе федерального значения, но на территории разных инспекций, их можно поставить на учет в одной из них.</w:t>
      </w:r>
    </w:p>
    <w:p w:rsidR="00EC6643" w:rsidRPr="002B4203" w:rsidRDefault="00EC6643" w:rsidP="00EC6643">
      <w:pPr>
        <w:pStyle w:val="a4"/>
        <w:spacing w:before="120" w:after="0"/>
        <w:jc w:val="both"/>
        <w:rPr>
          <w:rFonts w:ascii="Arial" w:hAnsi="Arial" w:cs="Arial"/>
        </w:rPr>
      </w:pPr>
      <w:r w:rsidRPr="002B4203">
        <w:rPr>
          <w:rFonts w:ascii="Arial" w:hAnsi="Arial" w:cs="Arial"/>
        </w:rPr>
        <w:t xml:space="preserve">С 01.01.2025 сообщать в </w:t>
      </w:r>
      <w:proofErr w:type="gramStart"/>
      <w:r w:rsidRPr="002B4203">
        <w:rPr>
          <w:rFonts w:ascii="Arial" w:hAnsi="Arial" w:cs="Arial"/>
        </w:rPr>
        <w:t>налоговую</w:t>
      </w:r>
      <w:proofErr w:type="gramEnd"/>
      <w:r w:rsidRPr="002B4203">
        <w:rPr>
          <w:rFonts w:ascii="Arial" w:hAnsi="Arial" w:cs="Arial"/>
        </w:rPr>
        <w:t xml:space="preserve"> о своем выборе нужно по новой форме. Формат представления и порядок заполнения также изменили.</w:t>
      </w:r>
    </w:p>
    <w:p w:rsidR="00EC6643" w:rsidRDefault="00EC6643" w:rsidP="00EC664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C6643" w:rsidRDefault="00EC6643"/>
    <w:sectPr w:rsidR="00EC6643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854CB"/>
    <w:multiLevelType w:val="hybridMultilevel"/>
    <w:tmpl w:val="4F7A8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C6643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B385E"/>
    <w:rsid w:val="00CA7B85"/>
    <w:rsid w:val="00EC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43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6643"/>
    <w:rPr>
      <w:color w:val="0000FF"/>
      <w:u w:val="single"/>
    </w:rPr>
  </w:style>
  <w:style w:type="paragraph" w:styleId="a4">
    <w:name w:val="Normal (Web)"/>
    <w:basedOn w:val="a"/>
    <w:uiPriority w:val="99"/>
    <w:rsid w:val="00EC6643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2024-07-12T03:27:00Z</dcterms:created>
  <dcterms:modified xsi:type="dcterms:W3CDTF">2024-07-12T03:28:00Z</dcterms:modified>
</cp:coreProperties>
</file>